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6EF" w:rsidRPr="00971C68" w:rsidRDefault="007366EF" w:rsidP="007366EF">
      <w:pPr>
        <w:widowControl w:val="0"/>
        <w:tabs>
          <w:tab w:val="left" w:pos="708"/>
        </w:tabs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b/>
          <w:sz w:val="28"/>
          <w:szCs w:val="28"/>
          <w:lang w:val="de-DE" w:eastAsia="ja-JP" w:bidi="fa-IR"/>
        </w:rPr>
      </w:pPr>
    </w:p>
    <w:p w:rsidR="007366EF" w:rsidRDefault="007366EF" w:rsidP="007366EF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 дисциплины</w:t>
      </w:r>
    </w:p>
    <w:p w:rsidR="007366EF" w:rsidRPr="005F4EE3" w:rsidRDefault="007366EF" w:rsidP="007366EF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 w:bidi="fa-IR"/>
        </w:rPr>
      </w:pPr>
      <w:bookmarkStart w:id="0" w:name="_GoBack"/>
      <w:bookmarkEnd w:id="0"/>
      <w:r w:rsidRPr="005F4EE3">
        <w:rPr>
          <w:rFonts w:ascii="Times New Roman" w:eastAsia="Times New Roman" w:hAnsi="Times New Roman" w:cs="Times New Roman"/>
          <w:b/>
          <w:sz w:val="28"/>
          <w:szCs w:val="28"/>
          <w:lang w:val="de-DE" w:eastAsia="ja-JP" w:bidi="fa-IR"/>
        </w:rPr>
        <w:t>„</w:t>
      </w:r>
      <w:r w:rsidRPr="005F4EE3">
        <w:rPr>
          <w:rFonts w:ascii="Times New Roman" w:eastAsia="Times New Roman" w:hAnsi="Times New Roman" w:cs="Times New Roman"/>
          <w:b/>
          <w:i/>
          <w:sz w:val="28"/>
          <w:szCs w:val="28"/>
          <w:lang w:eastAsia="ja-JP" w:bidi="fa-IR"/>
        </w:rPr>
        <w:t>Экспертиза пищевых продуктов и продовольственного сырья</w:t>
      </w:r>
      <w:r w:rsidRPr="005F4EE3">
        <w:rPr>
          <w:rFonts w:ascii="Times New Roman" w:eastAsia="Times New Roman" w:hAnsi="Times New Roman" w:cs="Times New Roman"/>
          <w:b/>
          <w:sz w:val="28"/>
          <w:szCs w:val="28"/>
          <w:lang w:val="de-DE" w:eastAsia="ja-JP" w:bidi="fa-IR"/>
        </w:rPr>
        <w:t>”</w:t>
      </w:r>
    </w:p>
    <w:p w:rsidR="007366EF" w:rsidRPr="00FC55A5" w:rsidRDefault="007366EF" w:rsidP="007366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FC55A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35.03.07.- </w:t>
      </w:r>
      <w:r w:rsidRPr="00FC55A5">
        <w:rPr>
          <w:rFonts w:ascii="Times New Roman" w:eastAsia="Calibri" w:hAnsi="Times New Roman" w:cs="Times New Roman"/>
          <w:b/>
          <w:i/>
          <w:sz w:val="28"/>
          <w:szCs w:val="28"/>
        </w:rPr>
        <w:t>«Технология производства и переработки с.-х. продукции</w:t>
      </w:r>
      <w:r w:rsidRPr="00FC55A5">
        <w:rPr>
          <w:rFonts w:ascii="Times New Roman" w:eastAsia="Calibri" w:hAnsi="Times New Roman" w:cs="Times New Roman"/>
          <w:b/>
        </w:rPr>
        <w:t>»</w:t>
      </w:r>
    </w:p>
    <w:p w:rsidR="007366EF" w:rsidRPr="00FC55A5" w:rsidRDefault="007366EF" w:rsidP="007366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366EF" w:rsidRPr="00971C68" w:rsidRDefault="007366EF" w:rsidP="007366EF">
      <w:pPr>
        <w:widowControl w:val="0"/>
        <w:tabs>
          <w:tab w:val="left" w:pos="708"/>
        </w:tabs>
        <w:suppressAutoHyphens/>
        <w:spacing w:before="240" w:after="120" w:line="240" w:lineRule="auto"/>
        <w:ind w:firstLine="709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 w:rsidRPr="00971C68"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Целью дисциплины является усвоение теоретических знаний об экспертизе пищевых продуктов и продовольственного сырья, приобретение практических навыков проведения экспертизы. </w:t>
      </w:r>
    </w:p>
    <w:p w:rsidR="007366EF" w:rsidRPr="00971C68" w:rsidRDefault="007366EF" w:rsidP="007366EF">
      <w:pPr>
        <w:spacing w:before="24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данной дисциплины направлено на формирование у обучающихся следующих компетенций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7366EF" w:rsidRPr="00971C68" w:rsidTr="00C737D2">
        <w:tc>
          <w:tcPr>
            <w:tcW w:w="2093" w:type="dxa"/>
          </w:tcPr>
          <w:p w:rsidR="007366EF" w:rsidRPr="00971C68" w:rsidRDefault="007366EF" w:rsidP="00C737D2">
            <w:pPr>
              <w:widowControl w:val="0"/>
              <w:suppressLineNumbers/>
              <w:suppressAutoHyphens/>
              <w:jc w:val="center"/>
              <w:rPr>
                <w:rFonts w:ascii="Times New Roman" w:eastAsia="Droid Sans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971C68">
              <w:rPr>
                <w:rFonts w:ascii="Times New Roman" w:eastAsia="Droid Sans" w:hAnsi="Times New Roman" w:cs="Times New Roman"/>
                <w:kern w:val="1"/>
                <w:sz w:val="28"/>
                <w:szCs w:val="28"/>
                <w:lang w:eastAsia="zh-CN" w:bidi="hi-IN"/>
              </w:rPr>
              <w:t>№</w:t>
            </w:r>
          </w:p>
        </w:tc>
        <w:tc>
          <w:tcPr>
            <w:tcW w:w="7478" w:type="dxa"/>
          </w:tcPr>
          <w:p w:rsidR="007366EF" w:rsidRPr="00971C68" w:rsidRDefault="007366EF" w:rsidP="00C737D2">
            <w:pPr>
              <w:widowControl w:val="0"/>
              <w:suppressLineNumbers/>
              <w:suppressAutoHyphens/>
              <w:jc w:val="center"/>
              <w:rPr>
                <w:rFonts w:ascii="Times New Roman" w:eastAsia="Droid Sans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971C68">
              <w:rPr>
                <w:rFonts w:ascii="Times New Roman" w:eastAsia="Droid Sans" w:hAnsi="Times New Roman" w:cs="Times New Roman"/>
                <w:kern w:val="1"/>
                <w:sz w:val="28"/>
                <w:szCs w:val="28"/>
                <w:lang w:eastAsia="zh-CN" w:bidi="hi-IN"/>
              </w:rPr>
              <w:t>Название компетенций</w:t>
            </w:r>
          </w:p>
        </w:tc>
      </w:tr>
      <w:tr w:rsidR="007366EF" w:rsidRPr="00971C68" w:rsidTr="00C737D2">
        <w:tc>
          <w:tcPr>
            <w:tcW w:w="2093" w:type="dxa"/>
          </w:tcPr>
          <w:p w:rsidR="007366EF" w:rsidRPr="00971C68" w:rsidRDefault="007366EF" w:rsidP="00C737D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1C68">
              <w:rPr>
                <w:rFonts w:ascii="Times New Roman" w:hAnsi="Times New Roman" w:cs="Times New Roman"/>
                <w:sz w:val="28"/>
                <w:szCs w:val="28"/>
              </w:rPr>
              <w:t>ОПК-6</w:t>
            </w:r>
          </w:p>
        </w:tc>
        <w:tc>
          <w:tcPr>
            <w:tcW w:w="7478" w:type="dxa"/>
          </w:tcPr>
          <w:p w:rsidR="007366EF" w:rsidRPr="00971C68" w:rsidRDefault="007366EF" w:rsidP="00C737D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71C6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Готовность оценивать качество сельскохозяйственной продукции с учетом биохимических показателей и определять способ её хранения и переработки</w:t>
            </w:r>
          </w:p>
        </w:tc>
      </w:tr>
    </w:tbl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7366EF" w:rsidRPr="00971C68" w:rsidTr="00C737D2">
        <w:tc>
          <w:tcPr>
            <w:tcW w:w="2093" w:type="dxa"/>
            <w:shd w:val="clear" w:color="auto" w:fill="auto"/>
          </w:tcPr>
          <w:p w:rsidR="007366EF" w:rsidRPr="00971C68" w:rsidRDefault="007366EF" w:rsidP="00C737D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ПК-7</w:t>
            </w:r>
          </w:p>
        </w:tc>
        <w:tc>
          <w:tcPr>
            <w:tcW w:w="7513" w:type="dxa"/>
            <w:shd w:val="clear" w:color="auto" w:fill="auto"/>
          </w:tcPr>
          <w:p w:rsidR="007366EF" w:rsidRPr="00971C68" w:rsidRDefault="007366EF" w:rsidP="00C737D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C68">
              <w:rPr>
                <w:rFonts w:ascii="Times New Roman" w:eastAsia="Droid Sans" w:hAnsi="Times New Roman" w:cs="Times New Roman"/>
                <w:kern w:val="1"/>
                <w:sz w:val="28"/>
                <w:szCs w:val="28"/>
                <w:lang w:eastAsia="zh-CN" w:bidi="hi-IN"/>
              </w:rPr>
              <w:t>Способность обосновывать нормы расхода сырья и вспомогательных материалов при производстве продукции</w:t>
            </w:r>
          </w:p>
        </w:tc>
      </w:tr>
    </w:tbl>
    <w:p w:rsidR="007366EF" w:rsidRPr="00971C68" w:rsidRDefault="007366EF" w:rsidP="007366EF">
      <w:pPr>
        <w:keepNext/>
        <w:widowControl w:val="0"/>
        <w:numPr>
          <w:ilvl w:val="2"/>
          <w:numId w:val="0"/>
        </w:numPr>
        <w:tabs>
          <w:tab w:val="left" w:pos="708"/>
        </w:tabs>
        <w:suppressAutoHyphens/>
        <w:spacing w:before="120" w:after="120" w:line="100" w:lineRule="atLeast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iCs/>
          <w:sz w:val="28"/>
          <w:szCs w:val="28"/>
          <w:lang w:eastAsia="ja-JP" w:bidi="fa-IR"/>
        </w:rPr>
      </w:pPr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eastAsia="ja-JP" w:bidi="fa-IR"/>
        </w:rPr>
        <w:t>Т</w:t>
      </w:r>
      <w:proofErr w:type="spellStart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>рудоемкост</w:t>
      </w:r>
      <w:proofErr w:type="spellEnd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eastAsia="ja-JP" w:bidi="fa-IR"/>
        </w:rPr>
        <w:t>ь</w:t>
      </w:r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>дисциплины</w:t>
      </w:r>
      <w:proofErr w:type="spellEnd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>по</w:t>
      </w:r>
      <w:proofErr w:type="spellEnd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>видам</w:t>
      </w:r>
      <w:proofErr w:type="spellEnd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b/>
          <w:iCs/>
          <w:sz w:val="28"/>
          <w:szCs w:val="28"/>
          <w:lang w:val="de-DE" w:eastAsia="ja-JP" w:bidi="fa-IR"/>
        </w:rPr>
        <w:t>занятий</w:t>
      </w:r>
      <w:proofErr w:type="spellEnd"/>
    </w:p>
    <w:p w:rsidR="007366EF" w:rsidRPr="00971C68" w:rsidRDefault="007366EF" w:rsidP="007366EF">
      <w:pPr>
        <w:widowControl w:val="0"/>
        <w:tabs>
          <w:tab w:val="left" w:pos="708"/>
        </w:tabs>
        <w:suppressAutoHyphens/>
        <w:spacing w:before="120" w:after="120" w:line="100" w:lineRule="atLeast"/>
        <w:jc w:val="center"/>
        <w:rPr>
          <w:rFonts w:ascii="Times New Roman" w:eastAsia="Andale Sans UI" w:hAnsi="Times New Roman" w:cs="Times New Roman"/>
          <w:sz w:val="28"/>
          <w:szCs w:val="28"/>
          <w:lang w:val="de-DE" w:eastAsia="ja-JP" w:bidi="fa-IR"/>
        </w:rPr>
      </w:pP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Таблица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r w:rsidRPr="00971C68">
        <w:rPr>
          <w:rFonts w:ascii="Times New Roman" w:eastAsia="Times New Roman" w:hAnsi="Times New Roman" w:cs="Times New Roman"/>
          <w:sz w:val="28"/>
          <w:szCs w:val="28"/>
          <w:lang w:eastAsia="ru-RU" w:bidi="fa-IR"/>
        </w:rPr>
        <w:t xml:space="preserve"> 3.</w:t>
      </w:r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–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Распределение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трудоемкости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дисциплины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по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видам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занятий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,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реализуемой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по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учебному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плану</w:t>
      </w:r>
      <w:proofErr w:type="spellEnd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 xml:space="preserve">, </w:t>
      </w:r>
      <w:proofErr w:type="spellStart"/>
      <w:r w:rsidRPr="00971C68">
        <w:rPr>
          <w:rFonts w:ascii="Times New Roman" w:eastAsia="Times New Roman" w:hAnsi="Times New Roman" w:cs="Times New Roman"/>
          <w:sz w:val="28"/>
          <w:szCs w:val="28"/>
          <w:lang w:val="de-DE" w:eastAsia="ru-RU" w:bidi="fa-IR"/>
        </w:rPr>
        <w:t>часов</w:t>
      </w:r>
      <w:proofErr w:type="spellEnd"/>
    </w:p>
    <w:tbl>
      <w:tblPr>
        <w:tblW w:w="0" w:type="auto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4"/>
        <w:gridCol w:w="2055"/>
        <w:gridCol w:w="1941"/>
      </w:tblGrid>
      <w:tr w:rsidR="007366EF" w:rsidRPr="00971C68" w:rsidTr="00C737D2">
        <w:trPr>
          <w:cantSplit/>
          <w:trHeight w:val="276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Вид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занятий</w:t>
            </w:r>
            <w:proofErr w:type="spellEnd"/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Всего</w:t>
            </w:r>
            <w:proofErr w:type="spellEnd"/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В 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eastAsia="ja-JP" w:bidi="fa-IR"/>
              </w:rPr>
              <w:t>6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-</w:t>
            </w: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ом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семестре</w:t>
            </w:r>
            <w:proofErr w:type="spellEnd"/>
          </w:p>
        </w:tc>
      </w:tr>
      <w:tr w:rsidR="007366EF" w:rsidRPr="00971C68" w:rsidTr="00C737D2">
        <w:trPr>
          <w:trHeight w:val="225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1.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Аудиторные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занятия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часов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всего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34</w:t>
            </w:r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34</w:t>
            </w:r>
          </w:p>
        </w:tc>
      </w:tr>
      <w:tr w:rsidR="007366EF" w:rsidRPr="00971C68" w:rsidTr="00C737D2">
        <w:trPr>
          <w:trHeight w:val="225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в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том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числе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:</w:t>
            </w:r>
          </w:p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1.1.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Лекции</w:t>
            </w:r>
            <w:proofErr w:type="spellEnd"/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18</w:t>
            </w:r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18</w:t>
            </w:r>
          </w:p>
        </w:tc>
      </w:tr>
      <w:tr w:rsidR="007366EF" w:rsidRPr="00971C68" w:rsidTr="00C737D2">
        <w:trPr>
          <w:trHeight w:val="225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1.2.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Лабораторные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работы</w:t>
            </w:r>
            <w:proofErr w:type="spellEnd"/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16</w:t>
            </w:r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16</w:t>
            </w:r>
          </w:p>
        </w:tc>
      </w:tr>
      <w:tr w:rsidR="007366EF" w:rsidRPr="00971C68" w:rsidTr="00C737D2">
        <w:trPr>
          <w:trHeight w:val="225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2.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Самостоятельная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работа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часов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всего</w:t>
            </w:r>
            <w:proofErr w:type="spellEnd"/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38</w:t>
            </w:r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38</w:t>
            </w:r>
          </w:p>
        </w:tc>
      </w:tr>
      <w:tr w:rsidR="007366EF" w:rsidRPr="00971C68" w:rsidTr="00C737D2">
        <w:trPr>
          <w:trHeight w:val="225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в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том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числе</w:t>
            </w:r>
            <w:proofErr w:type="spellEnd"/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</w:p>
        </w:tc>
      </w:tr>
      <w:tr w:rsidR="007366EF" w:rsidRPr="00971C68" w:rsidTr="00C737D2">
        <w:trPr>
          <w:trHeight w:val="225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Итого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часов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 xml:space="preserve"> (стр.1+стр.2)</w:t>
            </w:r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72</w:t>
            </w:r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72</w:t>
            </w:r>
          </w:p>
        </w:tc>
      </w:tr>
      <w:tr w:rsidR="007366EF" w:rsidRPr="00971C68" w:rsidTr="00C737D2">
        <w:trPr>
          <w:trHeight w:val="225"/>
        </w:trPr>
        <w:tc>
          <w:tcPr>
            <w:tcW w:w="55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</w:pP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Общая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трудоёмкость</w:t>
            </w:r>
            <w:proofErr w:type="spellEnd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,</w:t>
            </w:r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>зачётных</w:t>
            </w:r>
            <w:proofErr w:type="spellEnd"/>
            <w:r w:rsidRPr="00971C68">
              <w:rPr>
                <w:rFonts w:ascii="Times New Roman" w:eastAsia="Times New Roman" w:hAnsi="Times New Roman" w:cs="Times New Roman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val="de-DE" w:eastAsia="ja-JP" w:bidi="fa-IR"/>
              </w:rPr>
              <w:t>единиц</w:t>
            </w:r>
            <w:proofErr w:type="spellEnd"/>
          </w:p>
        </w:tc>
        <w:tc>
          <w:tcPr>
            <w:tcW w:w="20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6EF" w:rsidRPr="00971C68" w:rsidRDefault="007366EF" w:rsidP="00C737D2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</w:pPr>
            <w:r w:rsidRPr="00971C68">
              <w:rPr>
                <w:rFonts w:ascii="Times New Roman" w:eastAsia="Andale Sans UI" w:hAnsi="Times New Roman" w:cs="Times New Roman"/>
                <w:sz w:val="28"/>
                <w:szCs w:val="28"/>
                <w:lang w:eastAsia="ja-JP" w:bidi="fa-IR"/>
              </w:rPr>
              <w:t>2</w:t>
            </w:r>
          </w:p>
        </w:tc>
      </w:tr>
    </w:tbl>
    <w:p w:rsidR="007366EF" w:rsidRPr="00971C68" w:rsidRDefault="007366EF" w:rsidP="007366EF">
      <w:pPr>
        <w:widowControl w:val="0"/>
        <w:tabs>
          <w:tab w:val="left" w:pos="708"/>
        </w:tabs>
        <w:suppressAutoHyphens/>
        <w:spacing w:after="120" w:line="100" w:lineRule="atLeast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 w:rsidRPr="00971C68">
        <w:rPr>
          <w:rFonts w:ascii="Times New Roman" w:eastAsia="Andale Sans UI" w:hAnsi="Times New Roman" w:cs="Tahoma"/>
          <w:sz w:val="28"/>
          <w:szCs w:val="28"/>
          <w:lang w:eastAsia="ja-JP" w:bidi="fa-IR"/>
        </w:rPr>
        <w:t>Форма промежуточной аттестации зачёт</w:t>
      </w:r>
    </w:p>
    <w:p w:rsidR="007366EF" w:rsidRPr="00971C68" w:rsidRDefault="007366EF" w:rsidP="007366EF">
      <w:pPr>
        <w:widowControl w:val="0"/>
        <w:tabs>
          <w:tab w:val="left" w:pos="708"/>
        </w:tabs>
        <w:suppressAutoHyphens/>
        <w:spacing w:after="120" w:line="100" w:lineRule="atLeast"/>
        <w:jc w:val="both"/>
        <w:rPr>
          <w:rFonts w:ascii="Times New Roman" w:eastAsia="Andale Sans UI" w:hAnsi="Times New Roman" w:cs="Tahoma"/>
          <w:sz w:val="24"/>
          <w:szCs w:val="24"/>
          <w:lang w:eastAsia="ja-JP" w:bidi="fa-IR"/>
        </w:rPr>
      </w:pP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 (приводится в соответствии с тематическим планом).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Теоретические основы экспертизы продовольственных товаров.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Информационное обеспечение товарной экспертизы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Методы товарной экспертизы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Организация проведения экспертной оценки.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Классификация и кодирование товаров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 Градация потребительских товаров. 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Идентификация и фальсификация товаров. 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Товароведческая экспертиза продовольственных товаров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9. Товароведческая экспертиза продовольственных товаров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10.  Санитарно-эпидемиологическая экспертиза продовольственных товаров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11.  Ветеринарно-санитарная экспертиза продовольственных товаров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12. Экспертиза некачественных и опасных пищевых продуктов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13. Экспертиза макаронных изделий.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14. Экспертиза кондитерских изделий.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15. Экспертиза вкусовых товаров.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>13.  Экспертиза молока и  молочных товаров.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Экспертиза  мясных товаров. </w:t>
      </w: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6EF" w:rsidRPr="00971C68" w:rsidRDefault="007366EF" w:rsidP="007366E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C41" w:rsidRDefault="00E61C41"/>
    <w:sectPr w:rsidR="00E61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D3"/>
    <w:rsid w:val="006C1BD3"/>
    <w:rsid w:val="006D0F18"/>
    <w:rsid w:val="007366EF"/>
    <w:rsid w:val="00E6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366E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36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366E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36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1730</Characters>
  <Application>Microsoft Office Word</Application>
  <DocSecurity>0</DocSecurity>
  <Lines>14</Lines>
  <Paragraphs>4</Paragraphs>
  <ScaleCrop>false</ScaleCrop>
  <Company>Microsoft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2016-09-19T06:37:00Z</dcterms:created>
  <dcterms:modified xsi:type="dcterms:W3CDTF">2016-11-07T07:44:00Z</dcterms:modified>
</cp:coreProperties>
</file>