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C80" w:rsidRDefault="005F3C80" w:rsidP="005F3C80">
      <w:pPr>
        <w:ind w:firstLine="720"/>
        <w:jc w:val="right"/>
        <w:rPr>
          <w:szCs w:val="28"/>
        </w:rPr>
      </w:pPr>
      <w:r w:rsidRPr="00D915C5">
        <w:rPr>
          <w:b/>
        </w:rPr>
        <w:t xml:space="preserve"> </w:t>
      </w:r>
      <w:r>
        <w:rPr>
          <w:b/>
        </w:rPr>
        <w:t xml:space="preserve">  </w:t>
      </w:r>
      <w:r w:rsidRPr="00D915C5">
        <w:rPr>
          <w:b/>
        </w:rPr>
        <w:t xml:space="preserve"> </w:t>
      </w:r>
      <w:r w:rsidRPr="007D54C2">
        <w:rPr>
          <w:b/>
          <w:szCs w:val="28"/>
        </w:rPr>
        <w:t>Приложение</w:t>
      </w:r>
      <w:r>
        <w:rPr>
          <w:szCs w:val="28"/>
        </w:rPr>
        <w:t xml:space="preserve"> № 2 к программе</w:t>
      </w:r>
    </w:p>
    <w:p w:rsidR="005F3C80" w:rsidRPr="00D915C5" w:rsidRDefault="005F3C80" w:rsidP="005F3C80">
      <w:pPr>
        <w:ind w:firstLine="720"/>
        <w:jc w:val="right"/>
        <w:rPr>
          <w:b/>
        </w:rPr>
      </w:pPr>
      <w:r>
        <w:rPr>
          <w:szCs w:val="28"/>
        </w:rPr>
        <w:t xml:space="preserve">    дисциплины </w:t>
      </w:r>
      <w:r w:rsidR="002D1BA9">
        <w:rPr>
          <w:b/>
        </w:rPr>
        <w:t>Энзимология</w:t>
      </w:r>
      <w:bookmarkStart w:id="0" w:name="_GoBack"/>
      <w:bookmarkEnd w:id="0"/>
    </w:p>
    <w:p w:rsidR="005F3C80" w:rsidRDefault="005F3C80" w:rsidP="005F3C80">
      <w:pPr>
        <w:ind w:firstLine="720"/>
        <w:jc w:val="center"/>
        <w:rPr>
          <w:b/>
        </w:rPr>
      </w:pPr>
      <w:r>
        <w:rPr>
          <w:b/>
        </w:rPr>
        <w:t>АННОТАЦИЯ</w:t>
      </w:r>
    </w:p>
    <w:p w:rsidR="005F3C80" w:rsidRPr="00D915C5" w:rsidRDefault="00BF1EDC" w:rsidP="005F3C80">
      <w:pPr>
        <w:ind w:firstLine="720"/>
        <w:jc w:val="center"/>
        <w:rPr>
          <w:b/>
        </w:rPr>
      </w:pPr>
      <w:r>
        <w:rPr>
          <w:b/>
        </w:rPr>
        <w:t xml:space="preserve">Энзимология </w:t>
      </w:r>
    </w:p>
    <w:p w:rsidR="005F3C80" w:rsidRDefault="005F3C80" w:rsidP="005F3C80">
      <w:pPr>
        <w:ind w:firstLine="720"/>
        <w:jc w:val="both"/>
        <w:rPr>
          <w:b/>
        </w:rPr>
      </w:pPr>
      <w:r>
        <w:rPr>
          <w:b/>
        </w:rPr>
        <w:t>Цель дисциплины:</w:t>
      </w:r>
    </w:p>
    <w:p w:rsidR="005F3C80" w:rsidRPr="00D915C5" w:rsidRDefault="005F3C80" w:rsidP="005F3C80">
      <w:pPr>
        <w:jc w:val="both"/>
      </w:pPr>
      <w:r>
        <w:rPr>
          <w:szCs w:val="28"/>
        </w:rPr>
        <w:t xml:space="preserve">Целью </w:t>
      </w:r>
      <w:r w:rsidRPr="00625DA9">
        <w:rPr>
          <w:szCs w:val="28"/>
        </w:rPr>
        <w:t xml:space="preserve"> освоения дисциплины</w:t>
      </w:r>
      <w:r>
        <w:rPr>
          <w:szCs w:val="28"/>
        </w:rPr>
        <w:t xml:space="preserve"> </w:t>
      </w:r>
      <w:r>
        <w:t>Энзимология микроорганизмов</w:t>
      </w:r>
    </w:p>
    <w:p w:rsidR="005F3C80" w:rsidRDefault="005F3C80" w:rsidP="005F3C80">
      <w:pPr>
        <w:jc w:val="both"/>
        <w:rPr>
          <w:szCs w:val="28"/>
        </w:rPr>
      </w:pPr>
      <w:r>
        <w:rPr>
          <w:szCs w:val="28"/>
        </w:rPr>
        <w:t>являе</w:t>
      </w:r>
      <w:r w:rsidRPr="00625DA9">
        <w:rPr>
          <w:szCs w:val="28"/>
        </w:rPr>
        <w:t>тся:</w:t>
      </w:r>
      <w:r>
        <w:rPr>
          <w:szCs w:val="28"/>
        </w:rPr>
        <w:t xml:space="preserve"> </w:t>
      </w:r>
      <w:r w:rsidRPr="00433270">
        <w:t>изучение закономерностей роста и культивирования микроорганизмов</w:t>
      </w:r>
      <w:r>
        <w:t xml:space="preserve"> при активном участи в этих процессах ферментов</w:t>
      </w:r>
      <w:r w:rsidRPr="00433270">
        <w:t>, а также микробиологических основ пищевых и биотехнологических производств.</w:t>
      </w:r>
    </w:p>
    <w:p w:rsidR="005F3C80" w:rsidRDefault="005F3C80" w:rsidP="005F3C80">
      <w:pPr>
        <w:jc w:val="both"/>
      </w:pPr>
      <w:r>
        <w:t xml:space="preserve">Освоение данной дисциплины направлено на формирование </w:t>
      </w:r>
    </w:p>
    <w:p w:rsidR="005F3C80" w:rsidRDefault="005F3C80" w:rsidP="005F3C80">
      <w:pPr>
        <w:ind w:firstLine="720"/>
        <w:jc w:val="center"/>
        <w:rPr>
          <w:b/>
        </w:rPr>
      </w:pPr>
      <w:r>
        <w:rPr>
          <w:b/>
        </w:rPr>
        <w:t>у обучающихся следующих компетенций</w:t>
      </w:r>
    </w:p>
    <w:p w:rsidR="005F3C80" w:rsidRDefault="005F3C80" w:rsidP="005F3C80">
      <w:pPr>
        <w:ind w:firstLine="720"/>
        <w:jc w:val="center"/>
        <w:rPr>
          <w:b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789"/>
        <w:gridCol w:w="8607"/>
      </w:tblGrid>
      <w:tr w:rsidR="005F3C80" w:rsidRPr="005F3C80" w:rsidTr="004A04CE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Pr="005F3C80" w:rsidRDefault="005F3C80" w:rsidP="004A04CE">
            <w:pPr>
              <w:snapToGrid w:val="0"/>
              <w:jc w:val="center"/>
              <w:rPr>
                <w:sz w:val="24"/>
                <w:szCs w:val="24"/>
              </w:rPr>
            </w:pPr>
            <w:r w:rsidRPr="005F3C80">
              <w:rPr>
                <w:sz w:val="24"/>
                <w:szCs w:val="24"/>
              </w:rPr>
              <w:t>№ п/п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Pr="005F3C80" w:rsidRDefault="005F3C80" w:rsidP="004A04CE">
            <w:pPr>
              <w:snapToGrid w:val="0"/>
              <w:jc w:val="center"/>
              <w:rPr>
                <w:sz w:val="24"/>
                <w:szCs w:val="24"/>
              </w:rPr>
            </w:pPr>
            <w:r w:rsidRPr="005F3C80">
              <w:rPr>
                <w:sz w:val="24"/>
                <w:szCs w:val="24"/>
              </w:rPr>
              <w:t xml:space="preserve">Содержание компетенций, формируемых полностью </w:t>
            </w:r>
          </w:p>
          <w:p w:rsidR="005F3C80" w:rsidRPr="005F3C80" w:rsidRDefault="005F3C80" w:rsidP="004A04CE">
            <w:pPr>
              <w:jc w:val="center"/>
              <w:rPr>
                <w:sz w:val="24"/>
                <w:szCs w:val="24"/>
              </w:rPr>
            </w:pPr>
            <w:r w:rsidRPr="005F3C80">
              <w:rPr>
                <w:sz w:val="24"/>
                <w:szCs w:val="24"/>
              </w:rPr>
              <w:t>или частично данной дисциплиной</w:t>
            </w:r>
          </w:p>
        </w:tc>
      </w:tr>
      <w:tr w:rsidR="005F3C80" w:rsidRPr="005F3C80" w:rsidTr="004A04CE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Pr="005F3C80" w:rsidRDefault="005F3C80" w:rsidP="004A04CE">
            <w:pPr>
              <w:snapToGrid w:val="0"/>
              <w:jc w:val="center"/>
              <w:rPr>
                <w:sz w:val="24"/>
                <w:szCs w:val="24"/>
              </w:rPr>
            </w:pPr>
            <w:r w:rsidRPr="005F3C80">
              <w:rPr>
                <w:sz w:val="24"/>
                <w:szCs w:val="24"/>
              </w:rPr>
              <w:t>1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Pr="005F3C80" w:rsidRDefault="005F3C80" w:rsidP="004A04CE">
            <w:pPr>
              <w:pStyle w:val="a3"/>
              <w:snapToGrid w:val="0"/>
              <w:spacing w:before="0" w:after="0"/>
              <w:rPr>
                <w:szCs w:val="24"/>
              </w:rPr>
            </w:pPr>
            <w:r w:rsidRPr="005F3C80">
              <w:rPr>
                <w:szCs w:val="24"/>
              </w:rPr>
              <w:t>общекультурные:</w:t>
            </w:r>
          </w:p>
          <w:p w:rsidR="005F3C80" w:rsidRPr="005F3C80" w:rsidRDefault="005F3C80" w:rsidP="004A04CE">
            <w:pPr>
              <w:rPr>
                <w:sz w:val="24"/>
                <w:szCs w:val="24"/>
              </w:rPr>
            </w:pPr>
            <w:r w:rsidRPr="005F3C80">
              <w:rPr>
                <w:sz w:val="24"/>
                <w:szCs w:val="24"/>
              </w:rPr>
              <w:t>- способностью к осознанию социальной значимости своей будущей профессии, обладанию высо</w:t>
            </w:r>
            <w:r w:rsidRPr="005F3C80">
              <w:rPr>
                <w:sz w:val="24"/>
                <w:szCs w:val="24"/>
              </w:rPr>
              <w:softHyphen/>
              <w:t xml:space="preserve">кой мотивацией к выполнению профессиональной деятельности; </w:t>
            </w:r>
          </w:p>
        </w:tc>
      </w:tr>
      <w:tr w:rsidR="005F3C80" w:rsidRPr="005F3C80" w:rsidTr="004A04CE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Pr="005F3C80" w:rsidRDefault="005F3C80" w:rsidP="004A04CE">
            <w:pPr>
              <w:snapToGrid w:val="0"/>
              <w:jc w:val="center"/>
              <w:rPr>
                <w:sz w:val="24"/>
                <w:szCs w:val="24"/>
              </w:rPr>
            </w:pPr>
            <w:r w:rsidRPr="005F3C80">
              <w:rPr>
                <w:sz w:val="24"/>
                <w:szCs w:val="24"/>
              </w:rPr>
              <w:t>2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Pr="005F3C80" w:rsidRDefault="005F3C80" w:rsidP="005F3C8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C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умение правильно пользоваться медико-технической и ветеринарной аппаратурой, инструментарием и оборудованием в лабораторных, диагностических и лечебных целях и владение техникой лабораторного анализа (ПК-3); способность и готовность использовать нормативную документацию, принятую в ветеринарии и здравоохранении (законы Российской Федерации, технические регламенты, международные и национальные стандарты, приказы, правила, рекомендации, наставления,указания, терминологию, действующие международные классификации) (ПК-16); </w:t>
            </w:r>
            <w:r w:rsidRPr="005F3C80">
              <w:rPr>
                <w:rFonts w:ascii="Times New Roman" w:hAnsi="Times New Roman" w:cs="Times New Roman"/>
                <w:sz w:val="24"/>
                <w:szCs w:val="24"/>
              </w:rPr>
              <w:t>сущность, механизмы и закономерности процессов жизнедеятельности живых организмов (микроорганизмов, растений, животных);основные достижения и тенденции развития биотехнологии;современные методы генетической инженерии, белковой инженерии, инженерной энзимологии, хромосомной инженерии, клеточной инженерии;важнейшие технологические процессы переработки растительного и животного сырья и производства пищевых продуктов;</w:t>
            </w:r>
          </w:p>
          <w:p w:rsidR="005F3C80" w:rsidRPr="005F3C80" w:rsidRDefault="005F3C80" w:rsidP="002D36C1">
            <w:pPr>
              <w:pStyle w:val="a6"/>
              <w:jc w:val="both"/>
              <w:rPr>
                <w:sz w:val="24"/>
                <w:szCs w:val="24"/>
              </w:rPr>
            </w:pPr>
            <w:r w:rsidRPr="005F3C80">
              <w:rPr>
                <w:rFonts w:ascii="Times New Roman" w:hAnsi="Times New Roman" w:cs="Times New Roman"/>
                <w:sz w:val="24"/>
                <w:szCs w:val="24"/>
              </w:rPr>
              <w:t>методы анализа важнейших соединений живых организмов и методы исследования процессов их жизнедеятельности</w:t>
            </w:r>
            <w:r w:rsidR="002D3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C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способность и готовность осуществлять сбор научной информации, подготовку обзоров, аннотаций, составление рефератов и отчетов, библиографий, участвовать в научных дискуссиях и процедурах защиты научных работ различного уровня, выступать с докладами и сообщениями по тематике проводимых исследований, анализировать отечественный и зарубежный опыт по тематике исследований, разрабатывать планы, программы и методики проведения научных исследований, проводить научные исследования и эксперименты (ПК-29); способность и готовность к участию в освоении современных теоретических и экспериментальных методов исследования с целью создания новых перспективных средств, в организации работ по практическому использованию и внедрению результатов исследований; уметь применять инновационные методы научных исследований в ветеринарии и биологии (ПК-30).</w:t>
            </w:r>
          </w:p>
        </w:tc>
      </w:tr>
    </w:tbl>
    <w:p w:rsidR="005F3C80" w:rsidRDefault="005F3C80" w:rsidP="005F3C80">
      <w:pPr>
        <w:pStyle w:val="1"/>
        <w:numPr>
          <w:ilvl w:val="0"/>
          <w:numId w:val="0"/>
        </w:numPr>
        <w:ind w:firstLine="720"/>
      </w:pPr>
    </w:p>
    <w:p w:rsidR="005F3C80" w:rsidRPr="005F3C80" w:rsidRDefault="005F3C80" w:rsidP="005F3C80"/>
    <w:p w:rsidR="005F3C80" w:rsidRDefault="005F3C80" w:rsidP="005F3C80">
      <w:pPr>
        <w:pStyle w:val="1"/>
      </w:pPr>
    </w:p>
    <w:p w:rsidR="005F3C80" w:rsidRDefault="005F3C80" w:rsidP="005F3C80">
      <w:pPr>
        <w:pStyle w:val="1"/>
      </w:pPr>
      <w:r>
        <w:t>Трудоемкость дисциплины, реализуемой по учебному плану</w:t>
      </w:r>
    </w:p>
    <w:p w:rsidR="005F3C80" w:rsidRPr="009C37A7" w:rsidRDefault="005F3C80" w:rsidP="005F3C80">
      <w:pPr>
        <w:jc w:val="center"/>
      </w:pPr>
      <w:r>
        <w:rPr>
          <w:u w:val="single"/>
        </w:rPr>
        <w:t>108 часов</w:t>
      </w:r>
      <w:r>
        <w:t xml:space="preserve"> (3 зачетных единиц).</w:t>
      </w:r>
    </w:p>
    <w:tbl>
      <w:tblPr>
        <w:tblW w:w="6380" w:type="dxa"/>
        <w:jc w:val="center"/>
        <w:tblLayout w:type="fixed"/>
        <w:tblLook w:val="0000" w:firstRow="0" w:lastRow="0" w:firstColumn="0" w:lastColumn="0" w:noHBand="0" w:noVBand="0"/>
      </w:tblPr>
      <w:tblGrid>
        <w:gridCol w:w="3120"/>
        <w:gridCol w:w="851"/>
        <w:gridCol w:w="708"/>
        <w:gridCol w:w="851"/>
        <w:gridCol w:w="850"/>
      </w:tblGrid>
      <w:tr w:rsidR="005F3C80" w:rsidTr="004A04CE">
        <w:trPr>
          <w:jc w:val="center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Очное (полное)</w:t>
            </w:r>
          </w:p>
        </w:tc>
      </w:tr>
      <w:tr w:rsidR="005F3C80" w:rsidTr="004A04CE">
        <w:trPr>
          <w:jc w:val="center"/>
        </w:trPr>
        <w:tc>
          <w:tcPr>
            <w:tcW w:w="312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т.ч. по семестрам</w:t>
            </w:r>
          </w:p>
        </w:tc>
      </w:tr>
      <w:tr w:rsidR="005F3C80" w:rsidTr="004A04CE">
        <w:trPr>
          <w:jc w:val="center"/>
        </w:trPr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 Аудиторные занятия, часов, 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5F3C80" w:rsidRDefault="005F3C80" w:rsidP="004A04CE">
            <w:pPr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часов, 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5F3C80" w:rsidRDefault="005F3C80" w:rsidP="004A04CE">
            <w:pPr>
              <w:rPr>
                <w:szCs w:val="28"/>
              </w:rPr>
            </w:pPr>
            <w:r>
              <w:rPr>
                <w:szCs w:val="28"/>
              </w:rPr>
              <w:t>2.1. Курсовой проект (КП), курсовая работа (КР)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2.2. Расчетно-графическое задание (РГР)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2.3. Самостоятельное изучение разделов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BF1EDC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BF1EDC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2.4. Текущая самоподготовка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2.5. Подготовка и сдача зачета (экзамена)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2.6. Контрольная работа (К)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Итого часов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Форма промежуточной аттестации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  <w:tr w:rsidR="005F3C80" w:rsidTr="004A04CE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Общая трудоемкость зачетных 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C80" w:rsidRDefault="005F3C80" w:rsidP="004A04CE">
            <w:pPr>
              <w:snapToGrid w:val="0"/>
              <w:jc w:val="center"/>
              <w:rPr>
                <w:szCs w:val="28"/>
              </w:rPr>
            </w:pPr>
          </w:p>
        </w:tc>
      </w:tr>
    </w:tbl>
    <w:p w:rsidR="005F3C80" w:rsidRDefault="005F3C80" w:rsidP="005F3C80">
      <w:r>
        <w:t xml:space="preserve">                              Формы промежуточной аттестации: зачет.</w:t>
      </w:r>
    </w:p>
    <w:p w:rsidR="005F3C80" w:rsidRPr="00051558" w:rsidRDefault="005F3C80" w:rsidP="005F3C80">
      <w:pPr>
        <w:rPr>
          <w:b/>
        </w:rPr>
      </w:pPr>
      <w:r w:rsidRPr="00051558">
        <w:rPr>
          <w:b/>
        </w:rPr>
        <w:t>Перечень изучаемых тем:</w:t>
      </w:r>
    </w:p>
    <w:tbl>
      <w:tblPr>
        <w:tblW w:w="9817" w:type="dxa"/>
        <w:jc w:val="center"/>
        <w:tblInd w:w="-2445" w:type="dxa"/>
        <w:tblLayout w:type="fixed"/>
        <w:tblLook w:val="0000" w:firstRow="0" w:lastRow="0" w:firstColumn="0" w:lastColumn="0" w:noHBand="0" w:noVBand="0"/>
      </w:tblPr>
      <w:tblGrid>
        <w:gridCol w:w="9817"/>
      </w:tblGrid>
      <w:tr w:rsidR="005F3C80" w:rsidRPr="00625DA9" w:rsidTr="005F3C80">
        <w:trPr>
          <w:jc w:val="center"/>
        </w:trPr>
        <w:tc>
          <w:tcPr>
            <w:tcW w:w="9817" w:type="dxa"/>
          </w:tcPr>
          <w:p w:rsidR="005F3C80" w:rsidRPr="00625DA9" w:rsidRDefault="005F3C80" w:rsidP="005F3C80">
            <w:pPr>
              <w:pStyle w:val="1"/>
              <w:numPr>
                <w:ilvl w:val="0"/>
                <w:numId w:val="0"/>
              </w:numPr>
              <w:rPr>
                <w:szCs w:val="28"/>
              </w:rPr>
            </w:pPr>
            <w:r>
              <w:rPr>
                <w:b w:val="0"/>
              </w:rPr>
              <w:t>Тема-1</w:t>
            </w:r>
            <w:r w:rsidR="002D36C1">
              <w:rPr>
                <w:b w:val="0"/>
              </w:rPr>
              <w:t>. Предмет и задачи энзимологии</w:t>
            </w:r>
            <w:r>
              <w:rPr>
                <w:b w:val="0"/>
              </w:rPr>
              <w:t>. Связь ее с  другими науками и методы исследования</w:t>
            </w:r>
          </w:p>
        </w:tc>
      </w:tr>
      <w:tr w:rsidR="005F3C80" w:rsidRPr="0090302A" w:rsidTr="005F3C80">
        <w:trPr>
          <w:jc w:val="center"/>
        </w:trPr>
        <w:tc>
          <w:tcPr>
            <w:tcW w:w="9817" w:type="dxa"/>
          </w:tcPr>
          <w:p w:rsidR="005F3C80" w:rsidRPr="0090302A" w:rsidRDefault="005F3C80" w:rsidP="005F3C80">
            <w:pPr>
              <w:jc w:val="both"/>
              <w:rPr>
                <w:szCs w:val="28"/>
              </w:rPr>
            </w:pPr>
            <w:r w:rsidRPr="0090302A">
              <w:t xml:space="preserve">Тема-2. </w:t>
            </w:r>
            <w:r>
              <w:t>Сущность процессов брожения.</w:t>
            </w:r>
          </w:p>
        </w:tc>
      </w:tr>
      <w:tr w:rsidR="005F3C80" w:rsidRPr="0090302A" w:rsidTr="005F3C80">
        <w:trPr>
          <w:jc w:val="center"/>
        </w:trPr>
        <w:tc>
          <w:tcPr>
            <w:tcW w:w="9817" w:type="dxa"/>
          </w:tcPr>
          <w:p w:rsidR="005F3C80" w:rsidRPr="0090302A" w:rsidRDefault="005F3C80" w:rsidP="005F3C80">
            <w:pPr>
              <w:jc w:val="both"/>
              <w:rPr>
                <w:szCs w:val="28"/>
              </w:rPr>
            </w:pPr>
            <w:r w:rsidRPr="0090302A">
              <w:t xml:space="preserve">Тема-3. </w:t>
            </w:r>
            <w:r>
              <w:t>Учение о энзимах. Факторы</w:t>
            </w:r>
            <w:r w:rsidR="002D36C1">
              <w:t>,</w:t>
            </w:r>
            <w:r>
              <w:t xml:space="preserve"> влияющие на проявление процессов</w:t>
            </w:r>
          </w:p>
        </w:tc>
      </w:tr>
      <w:tr w:rsidR="005F3C80" w:rsidRPr="0090302A" w:rsidTr="005F3C80">
        <w:trPr>
          <w:jc w:val="center"/>
        </w:trPr>
        <w:tc>
          <w:tcPr>
            <w:tcW w:w="9817" w:type="dxa"/>
          </w:tcPr>
          <w:p w:rsidR="005F3C80" w:rsidRPr="0090302A" w:rsidRDefault="005F3C80" w:rsidP="005F3C80">
            <w:pPr>
              <w:jc w:val="both"/>
              <w:rPr>
                <w:szCs w:val="28"/>
              </w:rPr>
            </w:pPr>
            <w:r w:rsidRPr="0090302A">
              <w:t>Тема-4.</w:t>
            </w:r>
            <w:r>
              <w:t xml:space="preserve"> Закономерности развития ферментов. Теория саморегуляции </w:t>
            </w:r>
            <w:r>
              <w:lastRenderedPageBreak/>
              <w:t>паразитарных систем</w:t>
            </w:r>
            <w:r w:rsidRPr="0090302A">
              <w:t xml:space="preserve"> </w:t>
            </w:r>
          </w:p>
        </w:tc>
      </w:tr>
      <w:tr w:rsidR="005F3C80" w:rsidRPr="00625DA9" w:rsidTr="005F3C80">
        <w:trPr>
          <w:jc w:val="center"/>
        </w:trPr>
        <w:tc>
          <w:tcPr>
            <w:tcW w:w="9817" w:type="dxa"/>
          </w:tcPr>
          <w:p w:rsidR="005F3C80" w:rsidRPr="00625DA9" w:rsidRDefault="005F3C80" w:rsidP="004A04CE">
            <w:pPr>
              <w:pStyle w:val="a4"/>
              <w:jc w:val="both"/>
              <w:rPr>
                <w:szCs w:val="28"/>
              </w:rPr>
            </w:pPr>
            <w:r>
              <w:lastRenderedPageBreak/>
              <w:t>Тема-</w:t>
            </w:r>
            <w:r w:rsidRPr="0090302A">
              <w:t>5.</w:t>
            </w:r>
            <w:r>
              <w:t xml:space="preserve"> Основные направления профилактики инфекционных болезней. Общая и специфическая профилактика</w:t>
            </w:r>
            <w:r w:rsidRPr="0090302A">
              <w:t xml:space="preserve"> </w:t>
            </w:r>
          </w:p>
        </w:tc>
      </w:tr>
      <w:tr w:rsidR="005F3C80" w:rsidRPr="00625DA9" w:rsidTr="005F3C80">
        <w:trPr>
          <w:trHeight w:val="234"/>
          <w:jc w:val="center"/>
        </w:trPr>
        <w:tc>
          <w:tcPr>
            <w:tcW w:w="9817" w:type="dxa"/>
          </w:tcPr>
          <w:p w:rsidR="005F3C80" w:rsidRPr="00625DA9" w:rsidRDefault="005F3C80" w:rsidP="005F3C80">
            <w:pPr>
              <w:pStyle w:val="a4"/>
              <w:jc w:val="both"/>
              <w:rPr>
                <w:szCs w:val="28"/>
              </w:rPr>
            </w:pPr>
            <w:r w:rsidRPr="0090302A">
              <w:t>Тема</w:t>
            </w:r>
            <w:r>
              <w:t>-6 Мероприятия направленные на борьбу с болезнями</w:t>
            </w:r>
          </w:p>
        </w:tc>
      </w:tr>
    </w:tbl>
    <w:p w:rsidR="00C665F1" w:rsidRDefault="00C665F1"/>
    <w:sectPr w:rsidR="00C665F1" w:rsidSect="00D73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2"/>
  </w:compat>
  <w:rsids>
    <w:rsidRoot w:val="005F3C80"/>
    <w:rsid w:val="002D1BA9"/>
    <w:rsid w:val="002D36C1"/>
    <w:rsid w:val="005F3C80"/>
    <w:rsid w:val="00BF1EDC"/>
    <w:rsid w:val="00C665F1"/>
    <w:rsid w:val="00D7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F3C80"/>
    <w:pPr>
      <w:keepNext/>
      <w:numPr>
        <w:numId w:val="1"/>
      </w:numPr>
      <w:ind w:left="0"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3C8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rsid w:val="005F3C80"/>
    <w:pPr>
      <w:spacing w:before="100" w:after="100"/>
    </w:pPr>
    <w:rPr>
      <w:sz w:val="24"/>
    </w:rPr>
  </w:style>
  <w:style w:type="paragraph" w:styleId="a4">
    <w:name w:val="header"/>
    <w:basedOn w:val="a"/>
    <w:link w:val="a5"/>
    <w:rsid w:val="005F3C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F3C8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No Spacing"/>
    <w:uiPriority w:val="1"/>
    <w:qFormat/>
    <w:rsid w:val="005F3C8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F3C80"/>
    <w:pPr>
      <w:keepNext/>
      <w:numPr>
        <w:numId w:val="1"/>
      </w:numPr>
      <w:ind w:left="0"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3C8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rsid w:val="005F3C80"/>
    <w:pPr>
      <w:spacing w:before="100" w:after="100"/>
    </w:pPr>
    <w:rPr>
      <w:sz w:val="24"/>
    </w:rPr>
  </w:style>
  <w:style w:type="paragraph" w:styleId="a4">
    <w:name w:val="header"/>
    <w:basedOn w:val="a"/>
    <w:link w:val="a5"/>
    <w:rsid w:val="005F3C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F3C8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No Spacing"/>
    <w:uiPriority w:val="1"/>
    <w:qFormat/>
    <w:rsid w:val="005F3C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Н.АН</cp:lastModifiedBy>
  <cp:revision>6</cp:revision>
  <dcterms:created xsi:type="dcterms:W3CDTF">2015-03-30T09:04:00Z</dcterms:created>
  <dcterms:modified xsi:type="dcterms:W3CDTF">2015-04-06T04:45:00Z</dcterms:modified>
</cp:coreProperties>
</file>